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527FF1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на 201</w:t>
      </w:r>
      <w:r w:rsidRPr="00040FDE">
        <w:rPr>
          <w:rFonts w:ascii="Georgia" w:hAnsi="Georgia"/>
          <w:b/>
          <w:sz w:val="32"/>
          <w:szCs w:val="32"/>
        </w:rPr>
        <w:tab/>
        <w:t>/1</w:t>
      </w:r>
      <w:r w:rsidR="00647B38" w:rsidRPr="00040FDE">
        <w:rPr>
          <w:rFonts w:ascii="Georgia" w:hAnsi="Georgia"/>
          <w:b/>
          <w:sz w:val="32"/>
          <w:szCs w:val="32"/>
        </w:rPr>
        <w:t xml:space="preserve">_ </w:t>
      </w:r>
      <w:r w:rsidRPr="00040FDE">
        <w:rPr>
          <w:rFonts w:ascii="Georgia" w:hAnsi="Georgia"/>
          <w:b/>
          <w:sz w:val="32"/>
          <w:szCs w:val="32"/>
        </w:rPr>
        <w:tab/>
        <w:t>учебный год</w:t>
      </w: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040FDE" w:rsidP="00040FD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527FF1" w:rsidRPr="00040FDE">
        <w:rPr>
          <w:rFonts w:ascii="Georgia" w:hAnsi="Georgia"/>
          <w:sz w:val="32"/>
          <w:szCs w:val="32"/>
        </w:rPr>
        <w:t>Группа</w:t>
      </w:r>
      <w:r>
        <w:rPr>
          <w:rFonts w:ascii="Georgia" w:hAnsi="Georgia"/>
          <w:sz w:val="32"/>
          <w:szCs w:val="32"/>
        </w:rPr>
        <w:t xml:space="preserve"> ________________</w:t>
      </w:r>
      <w:r w:rsidR="00527FF1" w:rsidRPr="00040FDE">
        <w:rPr>
          <w:rFonts w:ascii="Georgia" w:hAnsi="Georgia"/>
          <w:sz w:val="32"/>
          <w:szCs w:val="32"/>
        </w:rPr>
        <w:tab/>
        <w:t>вторая</w:t>
      </w:r>
      <w:r w:rsidR="00647B38" w:rsidRPr="00040FDE">
        <w:rPr>
          <w:rFonts w:ascii="Georgia" w:hAnsi="Georgia"/>
          <w:sz w:val="32"/>
          <w:szCs w:val="32"/>
        </w:rPr>
        <w:t xml:space="preserve">  </w:t>
      </w:r>
      <w:r w:rsidR="00527FF1" w:rsidRPr="00040FDE">
        <w:rPr>
          <w:rFonts w:ascii="Georgia" w:hAnsi="Georgia"/>
          <w:sz w:val="32"/>
          <w:szCs w:val="32"/>
        </w:rPr>
        <w:tab/>
        <w:t>младшая</w:t>
      </w:r>
      <w:r w:rsidR="00527FF1" w:rsidRPr="00040FDE">
        <w:rPr>
          <w:rFonts w:ascii="Georgia" w:hAnsi="Georgia"/>
          <w:sz w:val="32"/>
          <w:szCs w:val="32"/>
        </w:rPr>
        <w:tab/>
        <w:t>№</w:t>
      </w:r>
      <w:r>
        <w:rPr>
          <w:rFonts w:ascii="Georgia" w:hAnsi="Georgia"/>
          <w:sz w:val="32"/>
          <w:szCs w:val="32"/>
        </w:rPr>
        <w:t xml:space="preserve"> _____</w:t>
      </w: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527FF1" w:rsidP="00040F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:rsidR="00527FF1" w:rsidRPr="00040FDE" w:rsidRDefault="00527FF1" w:rsidP="00040FDE">
      <w:pPr>
        <w:spacing w:after="0"/>
        <w:ind w:left="20" w:firstLine="688"/>
        <w:rPr>
          <w:rFonts w:ascii="Georgia" w:hAnsi="Georgia" w:cs="Times New Roman"/>
          <w:sz w:val="32"/>
          <w:szCs w:val="32"/>
        </w:rPr>
      </w:pPr>
      <w:r w:rsidRPr="00040FDE">
        <w:rPr>
          <w:rStyle w:val="Bodytext30"/>
          <w:rFonts w:ascii="Georgia" w:hAnsi="Georgia" w:cs="Times New Roman"/>
          <w:sz w:val="32"/>
          <w:szCs w:val="32"/>
        </w:rPr>
        <w:t>1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:rsidR="00040FDE" w:rsidRDefault="00040FDE" w:rsidP="00040FDE">
      <w:pPr>
        <w:pStyle w:val="Bodytext40"/>
        <w:shd w:val="clear" w:color="auto" w:fill="auto"/>
        <w:spacing w:before="0" w:after="0" w:line="276" w:lineRule="auto"/>
        <w:ind w:left="20"/>
        <w:jc w:val="left"/>
        <w:rPr>
          <w:rStyle w:val="Bodytext4TimesNewRoman105pt"/>
          <w:rFonts w:ascii="Georgia" w:eastAsia="CordiaUPC" w:hAnsi="Georgia"/>
          <w:sz w:val="32"/>
          <w:szCs w:val="32"/>
        </w:rPr>
      </w:pPr>
    </w:p>
    <w:p w:rsidR="00527FF1" w:rsidRPr="00040FDE" w:rsidRDefault="00527FF1" w:rsidP="00040FDE">
      <w:pPr>
        <w:pStyle w:val="Bodytext4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 w:cs="Times New Roman"/>
          <w:sz w:val="32"/>
          <w:szCs w:val="32"/>
        </w:rPr>
      </w:pPr>
      <w:r w:rsidRPr="00040FDE">
        <w:rPr>
          <w:rStyle w:val="Bodytext4TimesNewRoman105pt"/>
          <w:rFonts w:ascii="Georgia" w:eastAsia="CordiaUPC" w:hAnsi="Georgia"/>
          <w:sz w:val="32"/>
          <w:szCs w:val="32"/>
        </w:rPr>
        <w:t>2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:rsidR="00484ABF" w:rsidRDefault="00484ABF" w:rsidP="00040FDE">
      <w:pPr>
        <w:spacing w:after="0"/>
      </w:pPr>
    </w:p>
    <w:p w:rsidR="00527FF1" w:rsidRDefault="00527FF1"/>
    <w:p w:rsidR="00527FF1" w:rsidRDefault="00527FF1"/>
    <w:p w:rsidR="00527FF1" w:rsidRDefault="00527FF1"/>
    <w:p w:rsidR="00527FF1" w:rsidRDefault="00527FF1"/>
    <w:p w:rsidR="00527FF1" w:rsidRDefault="00527FF1"/>
    <w:p w:rsidR="00040FDE" w:rsidRDefault="00040FDE"/>
    <w:p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 xml:space="preserve">ною процесса в любом учреждении, </w:t>
      </w:r>
      <w:proofErr w:type="gramStart"/>
      <w:r w:rsidR="00527FF1" w:rsidRPr="00040FDE">
        <w:rPr>
          <w:sz w:val="23"/>
          <w:szCs w:val="23"/>
        </w:rPr>
        <w:t>работающим</w:t>
      </w:r>
      <w:proofErr w:type="gramEnd"/>
      <w:r w:rsidR="00527FF1" w:rsidRPr="00040FDE">
        <w:rPr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527FF1" w:rsidRPr="00040FDE">
        <w:rPr>
          <w:sz w:val="23"/>
          <w:szCs w:val="23"/>
        </w:rPr>
        <w:t>о-</w:t>
      </w:r>
      <w:proofErr w:type="gramEnd"/>
      <w:r w:rsidR="00527FF1" w:rsidRPr="00040FDE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другое</w:t>
      </w:r>
      <w:proofErr w:type="gramEnd"/>
      <w:r w:rsidRPr="00040FDE">
        <w:rPr>
          <w:sz w:val="23"/>
          <w:szCs w:val="23"/>
        </w:rPr>
        <w:t xml:space="preserve">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040FDE">
        <w:rPr>
          <w:sz w:val="23"/>
          <w:szCs w:val="23"/>
        </w:rPr>
        <w:t>мсдико-психолого-иедагогичсскому</w:t>
      </w:r>
      <w:proofErr w:type="spellEnd"/>
      <w:r w:rsidRPr="00040F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 xml:space="preserve">ществлять </w:t>
      </w:r>
      <w:proofErr w:type="spellStart"/>
      <w:r w:rsidRPr="00040FDE">
        <w:rPr>
          <w:sz w:val="23"/>
          <w:szCs w:val="23"/>
        </w:rPr>
        <w:t>психолого-методичсскую</w:t>
      </w:r>
      <w:proofErr w:type="spellEnd"/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proofErr w:type="spellStart"/>
      <w:r w:rsidRPr="00040FDE">
        <w:rPr>
          <w:sz w:val="23"/>
          <w:szCs w:val="23"/>
        </w:rPr>
        <w:t>общегрупповому</w:t>
      </w:r>
      <w:proofErr w:type="spellEnd"/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 xml:space="preserve">холого-педагогических исследованиях психометрических процедур, и будут уточняться по мере </w:t>
      </w:r>
      <w:proofErr w:type="gramStart"/>
      <w:r w:rsidRPr="00040FDE">
        <w:rPr>
          <w:rStyle w:val="Bodytext10Bold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040FDE">
        <w:rPr>
          <w:rStyle w:val="Bodytext10BoldItalic"/>
          <w:sz w:val="23"/>
          <w:szCs w:val="23"/>
        </w:rPr>
        <w:t>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 xml:space="preserve">щении </w:t>
      </w:r>
      <w:proofErr w:type="gramStart"/>
      <w:r w:rsidRPr="00040FDE">
        <w:rPr>
          <w:sz w:val="23"/>
          <w:szCs w:val="23"/>
        </w:rPr>
        <w:t>со</w:t>
      </w:r>
      <w:proofErr w:type="gramEnd"/>
      <w:r w:rsidRPr="00040FDE">
        <w:rPr>
          <w:sz w:val="23"/>
          <w:szCs w:val="23"/>
        </w:rPr>
        <w:t xml:space="preserve">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 xml:space="preserve">Материал: дидактическая </w:t>
      </w:r>
      <w:proofErr w:type="gramStart"/>
      <w:r w:rsidRPr="00040FDE">
        <w:rPr>
          <w:sz w:val="23"/>
          <w:szCs w:val="23"/>
        </w:rPr>
        <w:t>игра</w:t>
      </w:r>
      <w:proofErr w:type="gramEnd"/>
      <w:r w:rsidRPr="00040FDE">
        <w:rPr>
          <w:sz w:val="23"/>
          <w:szCs w:val="23"/>
        </w:rPr>
        <w:t xml:space="preserve">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</w:t>
      </w:r>
      <w:proofErr w:type="gramStart"/>
      <w:r w:rsidRPr="00040FDE">
        <w:rPr>
          <w:sz w:val="23"/>
          <w:szCs w:val="23"/>
        </w:rPr>
        <w:t>.</w:t>
      </w:r>
      <w:proofErr w:type="gramEnd"/>
      <w:r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г</w:t>
      </w:r>
      <w:proofErr w:type="gramEnd"/>
      <w:r w:rsidRPr="00040FDE">
        <w:rPr>
          <w:sz w:val="23"/>
          <w:szCs w:val="23"/>
        </w:rPr>
        <w:t>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</w:t>
      </w:r>
      <w:proofErr w:type="gramStart"/>
      <w:r w:rsidRPr="00647B38">
        <w:rPr>
          <w:sz w:val="24"/>
          <w:szCs w:val="24"/>
        </w:rPr>
        <w:t xml:space="preserve">., </w:t>
      </w:r>
      <w:proofErr w:type="gramEnd"/>
      <w:r w:rsidRPr="00647B38">
        <w:rPr>
          <w:sz w:val="24"/>
          <w:szCs w:val="24"/>
        </w:rPr>
        <w:t>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647B38">
        <w:rPr>
          <w:sz w:val="24"/>
          <w:szCs w:val="24"/>
        </w:rPr>
        <w:t>—С</w:t>
      </w:r>
      <w:proofErr w:type="gramEnd"/>
      <w:r w:rsidRPr="00647B38">
        <w:rPr>
          <w:sz w:val="24"/>
          <w:szCs w:val="24"/>
        </w:rPr>
        <w:t>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</w:t>
      </w: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Афонькина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/>
    <w:p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:rsidTr="00991B20">
        <w:tc>
          <w:tcPr>
            <w:tcW w:w="534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1075pt"/>
                <w:rFonts w:eastAsiaTheme="minorHAnsi"/>
              </w:rPr>
              <w:t>со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Bodytext1075pt"/>
                <w:rFonts w:eastAsiaTheme="minorHAnsi"/>
              </w:rPr>
              <w:t>Способен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:rsidTr="00991B20">
        <w:tc>
          <w:tcPr>
            <w:tcW w:w="534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28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A911E5">
        <w:tc>
          <w:tcPr>
            <w:tcW w:w="493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Понимает смысл обозначения: вверху-внизу, впереди-сзади, слева-справа, на, на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д-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2235" w:type="dxa"/>
            <w:gridSpan w:val="2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 xml:space="preserve">Рассматривает сюжетные картинки, </w:t>
            </w:r>
            <w:proofErr w:type="gramStart"/>
            <w:r w:rsidRPr="00A911E5">
              <w:rPr>
                <w:rStyle w:val="Bodytext1075pt"/>
                <w:sz w:val="18"/>
              </w:rPr>
              <w:t>спо</w:t>
            </w:r>
            <w:r w:rsidRPr="00A911E5">
              <w:rPr>
                <w:rStyle w:val="Bodytext1075pt"/>
                <w:sz w:val="18"/>
              </w:rPr>
              <w:softHyphen/>
              <w:t>собен</w:t>
            </w:r>
            <w:proofErr w:type="gramEnd"/>
            <w:r w:rsidRPr="00A911E5">
              <w:rPr>
                <w:rStyle w:val="Bodytext1075pt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2660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 w:rsidRPr="00A911E5">
              <w:rPr>
                <w:rStyle w:val="Bodytext1075pt"/>
                <w:sz w:val="16"/>
              </w:rPr>
              <w:t>Изображает</w:t>
            </w:r>
            <w:proofErr w:type="gramEnd"/>
            <w:r w:rsidRPr="00A911E5">
              <w:rPr>
                <w:rStyle w:val="Bodytext1075pt"/>
                <w:sz w:val="16"/>
              </w:rPr>
              <w:t>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2301" w:type="dxa"/>
            <w:gridSpan w:val="2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1E5" w:rsidRDefault="00A911E5" w:rsidP="00527FF1">
      <w:pPr>
        <w:rPr>
          <w:rFonts w:ascii="Times New Roman" w:hAnsi="Times New Roman" w:cs="Times New Roman"/>
          <w:szCs w:val="20"/>
        </w:rPr>
      </w:pPr>
    </w:p>
    <w:p w:rsidR="00A911E5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</w:t>
      </w:r>
      <w:r w:rsidR="00B0309C" w:rsidRPr="00991B20">
        <w:rPr>
          <w:b/>
        </w:rPr>
        <w:t>я область «Физическое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527FF1" w:rsidTr="00647B38">
        <w:tc>
          <w:tcPr>
            <w:tcW w:w="533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647B38">
            <w:pPr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47B38" w:rsidRPr="00527FF1" w:rsidTr="00647B38">
        <w:tc>
          <w:tcPr>
            <w:tcW w:w="533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2801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47B38" w:rsidRDefault="00EB0E21" w:rsidP="00040FDE">
      <w:pPr>
        <w:rPr>
          <w:rFonts w:ascii="Times New Roman" w:hAnsi="Times New Roman" w:cs="Times New Roman"/>
          <w:szCs w:val="20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21" w:rsidRDefault="00EB0E21" w:rsidP="00EB0E21">
      <w:pPr>
        <w:rPr>
          <w:rFonts w:ascii="Times New Roman" w:hAnsi="Times New Roman" w:cs="Times New Roman"/>
          <w:szCs w:val="20"/>
        </w:rPr>
      </w:pPr>
    </w:p>
    <w:p w:rsidR="00EB0E21" w:rsidRDefault="00EB0E21" w:rsidP="00040FDE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21" w:rsidSect="00EB0E21">
      <w:pgSz w:w="16838" w:h="11906" w:orient="landscape" w:code="9"/>
      <w:pgMar w:top="851" w:right="25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6C" w:rsidRDefault="00EB7C6C" w:rsidP="00040FDE">
      <w:pPr>
        <w:spacing w:after="0" w:line="240" w:lineRule="auto"/>
      </w:pPr>
      <w:r>
        <w:separator/>
      </w:r>
    </w:p>
  </w:endnote>
  <w:endnote w:type="continuationSeparator" w:id="0">
    <w:p w:rsidR="00EB7C6C" w:rsidRDefault="00EB7C6C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6C" w:rsidRDefault="00EB7C6C" w:rsidP="00040FDE">
      <w:pPr>
        <w:spacing w:after="0" w:line="240" w:lineRule="auto"/>
      </w:pPr>
      <w:r>
        <w:separator/>
      </w:r>
    </w:p>
  </w:footnote>
  <w:footnote w:type="continuationSeparator" w:id="0">
    <w:p w:rsidR="00EB7C6C" w:rsidRDefault="00EB7C6C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B8F"/>
    <w:rsid w:val="00040FDE"/>
    <w:rsid w:val="00074B8F"/>
    <w:rsid w:val="0017725D"/>
    <w:rsid w:val="00380477"/>
    <w:rsid w:val="00382491"/>
    <w:rsid w:val="00484ABF"/>
    <w:rsid w:val="00527FF1"/>
    <w:rsid w:val="0057559D"/>
    <w:rsid w:val="00647B38"/>
    <w:rsid w:val="00991B20"/>
    <w:rsid w:val="00A911E5"/>
    <w:rsid w:val="00B0309C"/>
    <w:rsid w:val="00E12B6D"/>
    <w:rsid w:val="00EB0E21"/>
    <w:rsid w:val="00EB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2014-10-21T11:37:00Z</cp:lastPrinted>
  <dcterms:created xsi:type="dcterms:W3CDTF">2014-10-11T19:05:00Z</dcterms:created>
  <dcterms:modified xsi:type="dcterms:W3CDTF">2014-11-12T12:57:00Z</dcterms:modified>
</cp:coreProperties>
</file>